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51ACD" w:rsidRPr="00851ACD" w:rsidTr="00851A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1ACD" w:rsidRPr="00851ACD" w:rsidRDefault="00851ACD" w:rsidP="00851ACD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45"/>
                <w:szCs w:val="45"/>
              </w:rPr>
            </w:pPr>
            <w:r w:rsidRPr="00851ACD">
              <w:rPr>
                <w:rFonts w:ascii="Trebuchet MS" w:eastAsia="Times New Roman" w:hAnsi="Trebuchet MS" w:cs="Times New Roman"/>
                <w:b/>
                <w:bCs/>
                <w:color w:val="000000"/>
                <w:kern w:val="36"/>
                <w:sz w:val="45"/>
                <w:szCs w:val="45"/>
              </w:rPr>
              <w:t>COVID vaccines not linked to pregnancy loss</w:t>
            </w: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:rsidR="00851ACD" w:rsidRPr="00851ACD" w:rsidRDefault="00851ACD" w:rsidP="0085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851ACD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851ACD" w:rsidRPr="00851ACD" w:rsidTr="00851A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51ACD" w:rsidRPr="00851ACD" w:rsidRDefault="00851ACD" w:rsidP="00851ACD">
            <w:pPr>
              <w:shd w:val="clear" w:color="auto" w:fill="4267B2"/>
              <w:spacing w:after="0" w:line="480" w:lineRule="atLeast"/>
              <w:textAlignment w:val="top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bookmarkStart w:id="0" w:name="_GoBack"/>
            <w:r w:rsidRPr="00851ACD">
              <w:rPr>
                <w:rFonts w:ascii="Times New Roman" w:eastAsia="Times New Roman" w:hAnsi="Times New Roman" w:cs="Times New Roman"/>
                <w:noProof/>
                <w:color w:val="333333"/>
                <w:sz w:val="29"/>
                <w:szCs w:val="29"/>
              </w:rPr>
              <w:drawing>
                <wp:inline distT="0" distB="0" distL="0" distR="0" wp14:anchorId="5A4B83B7" wp14:editId="644D7CF1">
                  <wp:extent cx="6076950" cy="4162090"/>
                  <wp:effectExtent l="0" t="0" r="0" b="0"/>
                  <wp:docPr id="5" name="Picture 5" descr="COVID vaccines not linked to pregnancy los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OVID vaccines not linked to pregnancy los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9080" cy="416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51ACD" w:rsidRPr="00851ACD" w:rsidRDefault="00851ACD" w:rsidP="00851ACD">
            <w:pPr>
              <w:shd w:val="clear" w:color="auto" w:fill="00000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15"/>
                <w:sz w:val="24"/>
                <w:szCs w:val="24"/>
              </w:rPr>
            </w:pPr>
            <w:r w:rsidRPr="00851ACD">
              <w:rPr>
                <w:rFonts w:ascii="Times New Roman" w:eastAsia="Times New Roman" w:hAnsi="Times New Roman" w:cs="Times New Roman"/>
                <w:color w:val="FFFFFF"/>
                <w:spacing w:val="15"/>
                <w:sz w:val="24"/>
                <w:szCs w:val="24"/>
              </w:rPr>
              <w:t>COVID vaccines not linked to pregnancy loss</w:t>
            </w: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The following is a summary of some recent studies on COVID-19. They include research that warrants further study to corroborate the findings and that have yet to be certified by peer review.</w:t>
            </w: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</w:rPr>
              <w:t>COVID-19 vaccines not linked with pregnancy loss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Two studies in major medical journals add to evidence that COVID-19 vaccines are safe before and during pregnancy, reports Reuters.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One study, published in The New England Journal of Medicine on Wednesday, tracked nearly 18,500 pregnant women in Norway, including about 4,500 who 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lastRenderedPageBreak/>
              <w:t>had miscarriages.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Researchers found no link between COVID-19 vaccines and risk of first-trimester miscarriage, regardless of whether the vaccines were from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Moderna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, Pfizer and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BioNTech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, or AstraZeneca.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Overall, the women with miscarriages were 9 percent less likely to have been vaccinated, according to the researchers' calculations. In a separate study published on Thursday in The Lancet, researchers tracked 107 women who became pregnant while participating in trials of AstraZeneca's vaccine in the UK, Brazil and South Africa. Seventy-two of the women had received the vaccine while the others got a placebo.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AstraZeneca's vaccine had no effect on the odds of safely carrying the pregnancy to term, the researchers reported. "It is important that pregnant women are vaccinated since they have a higher risk of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hospitalisations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and COVID-19-complications, and their infants are at higher risk of being born too early," the authors of the Norwegian study wrote.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 "Also, vaccination during pregnancy is likely to provide protection to the newborn infant against COVID-19 infection in the first months after birth."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</w:rPr>
              <w:t>Vaccine combinations with different technologies may be best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Healthcare workers in France who got a first shot of AstraZeneca's COVID-19 vaccine and then the Pfizer/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BioNTech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vaccine for their second shot showed stronger immune responses than those who had received two shots of the Pfizer vaccine, in a recent study.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Combining different technologies is known to boost immune responses to other viruses, and the current study suggests it may be true for the coronavirus as well.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Both vaccines in the study deliver instructions that teach cells in the body to make a piece of protein that resembles the spike on the COVID-19 and that triggers an immune response. But they do it in very different ways.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Both protocols provided "safe and efficient" protection, said Vincent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Legros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of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lastRenderedPageBreak/>
              <w:t>Universite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de Lyon in France, coauthor of a report published on Thursday in Nature. But combining the AstraZeneca shot with the Pfizer/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BioNTech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vaccine "conferred even better protection" than two doses of Pfizer's shot, including against the Delta variant,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Legros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said.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The two technologies combined induced an antibody response of better quality, with more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neutralising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antibodies that could block the virus, and more cells that have been "trained" by the vaccine to have increased defense potential, he said.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Combination vaccination "is safe and may provide interesting options... for clinicians to prevent SARS-CoV-2 infection,"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Legros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concluded.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Cognitive problems seen in middle-aged COVID-19 survivors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A "substantial proportion" of middle-aged COVID-19 survivors with no previous dementia had cognitive impairment" given that they were relatively young and healthy, Becker said.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  <w:szCs w:val="29"/>
              </w:rPr>
              <w:t>Data support use of Pfizer vaccine in children and teens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The Pfizer/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BioNTech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COVID-19 vaccine showed 90.7 percent efficacy against the coronavirus in a trial of children ages 5 to 11, the US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drugmaker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said on Friday in briefing documents submitted to the US Food and Drug Administration but not formally published.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>The children were given two shots of a 10-microgram dose of the vaccine - a third of the strength given to people 12 and older. The study was not primarily designed to measure efficacy against the virus.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Insead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, it compared the amount of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neutralising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antibodies induced by the vaccine in the children to the response of recipients in their adult trial.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Pfizer and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BioNTech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said the vaccine induced a robust immune response in the children. Outside advisers to the FDA are scheduled to meet on Tuesday to vote on whether to recommend </w:t>
            </w:r>
            <w:proofErr w:type="spellStart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authorisation</w:t>
            </w:r>
            <w:proofErr w:type="spellEnd"/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 xml:space="preserve"> of the vaccine for that age group.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  <w:t xml:space="preserve">A separate study from Israel conducted while the Delta variant was prevalent and published on Wednesday in The New England Journal of Medicine, 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lastRenderedPageBreak/>
              <w:t>compared nearly 95,000 12- to -18-year-olds who had received Pfizer's vaccine with an equal number of adolescents who had not been vaccinated.</w:t>
            </w: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br/>
            </w: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The results show the vaccine "was highly effective in the first few weeks after vaccination against both documented infection and symptomatic COVID-19 with the Delta variant" in this age group, the research team reported.</w:t>
            </w: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</w:p>
          <w:p w:rsidR="00851ACD" w:rsidRPr="00851ACD" w:rsidRDefault="00851ACD" w:rsidP="00851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</w:pPr>
            <w:r w:rsidRPr="00851ACD">
              <w:rPr>
                <w:rFonts w:ascii="Times New Roman" w:eastAsia="Times New Roman" w:hAnsi="Times New Roman" w:cs="Times New Roman"/>
                <w:color w:val="333333"/>
                <w:sz w:val="29"/>
                <w:szCs w:val="29"/>
              </w:rPr>
              <w:t>TF</w:t>
            </w:r>
          </w:p>
        </w:tc>
      </w:tr>
    </w:tbl>
    <w:p w:rsidR="007F14C0" w:rsidRDefault="007F14C0"/>
    <w:sectPr w:rsidR="007F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CD"/>
    <w:rsid w:val="003913F1"/>
    <w:rsid w:val="00532B90"/>
    <w:rsid w:val="007F14C0"/>
    <w:rsid w:val="008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BD695-25EE-4696-BB1A-E6653C47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2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34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524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595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88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3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03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1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1CTDN72</dc:creator>
  <cp:keywords/>
  <dc:description/>
  <cp:lastModifiedBy>1CTDN72</cp:lastModifiedBy>
  <cp:revision>3</cp:revision>
  <dcterms:created xsi:type="dcterms:W3CDTF">2021-10-23T15:32:00Z</dcterms:created>
  <dcterms:modified xsi:type="dcterms:W3CDTF">2021-10-26T00:46:00Z</dcterms:modified>
</cp:coreProperties>
</file>